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37DB" w:rsidRDefault="00CE37DB" w:rsidP="00CE37DB">
      <w:pPr>
        <w:rPr>
          <w:lang w:val="en-US"/>
        </w:rPr>
      </w:pP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3351F" wp14:editId="5D099158">
                <wp:simplePos x="0" y="0"/>
                <wp:positionH relativeFrom="column">
                  <wp:posOffset>-414047</wp:posOffset>
                </wp:positionH>
                <wp:positionV relativeFrom="paragraph">
                  <wp:posOffset>33425</wp:posOffset>
                </wp:positionV>
                <wp:extent cx="6595353" cy="7470843"/>
                <wp:effectExtent l="57150" t="19050" r="72390" b="920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5353" cy="747084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F2E6B66" id="Rectangle 2" o:spid="_x0000_s1026" style="position:absolute;margin-left:-32.6pt;margin-top:2.65pt;width:519.3pt;height:58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" filled="f" strokecolor="black [3213]" strokeweight=".5pt"/>
            </w:pict>
          </mc:Fallback>
        </mc:AlternateContent>
      </w:r>
      <w:r w:rsidR="009554FF" w:rsidRPr="00E415C1">
        <w:rPr>
          <w:noProof/>
          <w:lang w:val="en-US"/>
        </w:rPr>
        <w:t xml:space="preserve"> </w:t>
      </w:r>
      <w:r w:rsidR="009554FF">
        <w:rPr>
          <w:noProof/>
          <w:lang w:val="fr-FR"/>
        </w:rPr>
        <w:drawing>
          <wp:inline distT="0" distB="0" distL="0" distR="0" wp14:anchorId="467B169B" wp14:editId="7B1F034F">
            <wp:extent cx="5781675" cy="2743200"/>
            <wp:effectExtent l="0" t="0" r="0" b="0"/>
            <wp:docPr id="3" name="Graphique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FC44D0">
        <w:rPr>
          <w:noProof/>
          <w:lang w:val="fr-FR"/>
        </w:rPr>
        <w:drawing>
          <wp:inline distT="0" distB="0" distL="0" distR="0" wp14:anchorId="4D5C8FAA" wp14:editId="7300465F">
            <wp:extent cx="6238875" cy="2619375"/>
            <wp:effectExtent l="0" t="0" r="0" b="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9554FF" w:rsidRPr="00E415C1">
        <w:rPr>
          <w:noProof/>
          <w:lang w:val="en-US"/>
        </w:rPr>
        <w:t xml:space="preserve"> </w:t>
      </w:r>
    </w:p>
    <w:p w:rsidR="00CE37DB" w:rsidRDefault="00CE37DB" w:rsidP="00CE37DB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E37DB" w:rsidRPr="00F8788D" w:rsidRDefault="00CE37DB" w:rsidP="00CE37DB">
      <w:pPr>
        <w:spacing w:line="480" w:lineRule="auto"/>
        <w:rPr>
          <w:lang w:val="en-US"/>
        </w:rPr>
      </w:pPr>
      <w:r w:rsidRPr="00F8788D">
        <w:rPr>
          <w:lang w:val="en-US"/>
        </w:rPr>
        <w:t>Top: High risk non-muscle invasive bladder cancer</w:t>
      </w:r>
    </w:p>
    <w:p w:rsidR="00CE37DB" w:rsidRPr="00F8788D" w:rsidRDefault="00CE37DB" w:rsidP="00CE37DB">
      <w:pPr>
        <w:spacing w:line="480" w:lineRule="auto"/>
        <w:rPr>
          <w:lang w:val="en-US"/>
        </w:rPr>
      </w:pPr>
      <w:r w:rsidRPr="00F8788D">
        <w:rPr>
          <w:lang w:val="en-US"/>
        </w:rPr>
        <w:t>Bottom: Muscle invasive bladder cancer</w:t>
      </w:r>
    </w:p>
    <w:p w:rsidR="00CE37DB" w:rsidRPr="00F8788D" w:rsidRDefault="00A1360A" w:rsidP="00CE37DB">
      <w:pPr>
        <w:spacing w:line="480" w:lineRule="auto"/>
        <w:rPr>
          <w:lang w:val="en-US"/>
        </w:rPr>
      </w:pPr>
      <w:r>
        <w:rPr>
          <w:lang w:val="en-US"/>
        </w:rPr>
        <w:t xml:space="preserve">Additional </w:t>
      </w:r>
      <w:r w:rsidR="00CE37DB" w:rsidRPr="00F8788D">
        <w:rPr>
          <w:lang w:val="en-US"/>
        </w:rPr>
        <w:t xml:space="preserve">Figure </w:t>
      </w:r>
      <w:proofErr w:type="gramStart"/>
      <w:r w:rsidR="00CE37DB" w:rsidRPr="00F8788D">
        <w:rPr>
          <w:lang w:val="en-US"/>
        </w:rPr>
        <w:t>1 :</w:t>
      </w:r>
      <w:proofErr w:type="gramEnd"/>
      <w:r w:rsidR="00CE37DB" w:rsidRPr="00F8788D">
        <w:rPr>
          <w:lang w:val="en-US"/>
        </w:rPr>
        <w:t xml:space="preserve"> Type of treatment delivered according to age</w:t>
      </w:r>
      <w:r>
        <w:rPr>
          <w:lang w:val="en-US"/>
        </w:rPr>
        <w:t xml:space="preserve"> </w:t>
      </w:r>
      <w:r w:rsidR="00CE37DB" w:rsidRPr="00F8788D">
        <w:rPr>
          <w:lang w:val="en-US"/>
        </w:rPr>
        <w:t xml:space="preserve">group </w:t>
      </w:r>
    </w:p>
    <w:p w:rsidR="00EE4829" w:rsidRPr="00CE37DB" w:rsidRDefault="00F90DFE">
      <w:pPr>
        <w:rPr>
          <w:lang w:val="en-US"/>
        </w:rPr>
      </w:pPr>
    </w:p>
    <w:sectPr w:rsidR="00EE4829" w:rsidRPr="00CE3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DB"/>
    <w:rsid w:val="002D6435"/>
    <w:rsid w:val="002F59E1"/>
    <w:rsid w:val="00500C22"/>
    <w:rsid w:val="008311D5"/>
    <w:rsid w:val="008B1507"/>
    <w:rsid w:val="009554FF"/>
    <w:rsid w:val="00A1360A"/>
    <w:rsid w:val="00AD56C2"/>
    <w:rsid w:val="00B32329"/>
    <w:rsid w:val="00CE37DB"/>
    <w:rsid w:val="00CE7D72"/>
    <w:rsid w:val="00DA4563"/>
    <w:rsid w:val="00E415C1"/>
    <w:rsid w:val="00F0289B"/>
    <w:rsid w:val="00F348DA"/>
    <w:rsid w:val="00F37E9E"/>
    <w:rsid w:val="00F90DFE"/>
    <w:rsid w:val="00FC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E37DB"/>
    <w:pPr>
      <w:spacing w:after="0" w:line="276" w:lineRule="auto"/>
      <w:contextualSpacing/>
    </w:pPr>
    <w:rPr>
      <w:rFonts w:ascii="Arial" w:eastAsia="Arial" w:hAnsi="Arial" w:cs="Arial"/>
      <w:lang w:val="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7E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7E9E"/>
    <w:rPr>
      <w:rFonts w:ascii="Tahoma" w:eastAsia="Arial" w:hAnsi="Tahoma" w:cs="Tahoma"/>
      <w:sz w:val="16"/>
      <w:szCs w:val="16"/>
      <w:lang w:val="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E37DB"/>
    <w:pPr>
      <w:spacing w:after="0" w:line="276" w:lineRule="auto"/>
      <w:contextualSpacing/>
    </w:pPr>
    <w:rPr>
      <w:rFonts w:ascii="Arial" w:eastAsia="Arial" w:hAnsi="Arial" w:cs="Arial"/>
      <w:lang w:val="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7E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7E9E"/>
    <w:rPr>
      <w:rFonts w:ascii="Tahoma" w:eastAsia="Arial" w:hAnsi="Tahoma" w:cs="Tahoma"/>
      <w:sz w:val="16"/>
      <w:szCs w:val="16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FIGURE%20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FIGURE%2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Feuil1!$A$2</c:f>
              <c:strCache>
                <c:ptCount val="1"/>
                <c:pt idx="0">
                  <c:v>No specific treatment</c:v>
                </c:pt>
              </c:strCache>
            </c:strRef>
          </c:tx>
          <c:spPr>
            <a:solidFill>
              <a:srgbClr val="800000">
                <a:alpha val="94902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57%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52%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Feuil1!$B$1:$E$1</c:f>
              <c:strCache>
                <c:ptCount val="4"/>
                <c:pt idx="0">
                  <c:v>≤64 y/o n=27</c:v>
                </c:pt>
                <c:pt idx="1">
                  <c:v>65-74 y/o n=23</c:v>
                </c:pt>
                <c:pt idx="2">
                  <c:v>75-80 y/o n=21</c:v>
                </c:pt>
                <c:pt idx="3">
                  <c:v>≥81  y/o n=21</c:v>
                </c:pt>
              </c:strCache>
            </c:strRef>
          </c:cat>
          <c:val>
            <c:numRef>
              <c:f>Feuil1!$B$2:$E$2</c:f>
              <c:numCache>
                <c:formatCode>General</c:formatCode>
                <c:ptCount val="4"/>
                <c:pt idx="0" formatCode="0">
                  <c:v>4</c:v>
                </c:pt>
                <c:pt idx="1">
                  <c:v>13</c:v>
                </c:pt>
                <c:pt idx="2">
                  <c:v>57</c:v>
                </c:pt>
                <c:pt idx="3">
                  <c:v>52</c:v>
                </c:pt>
              </c:numCache>
            </c:numRef>
          </c:val>
        </c:ser>
        <c:ser>
          <c:idx val="1"/>
          <c:order val="1"/>
          <c:tx>
            <c:strRef>
              <c:f>Feuil1!$A$3</c:f>
              <c:strCache>
                <c:ptCount val="1"/>
                <c:pt idx="0">
                  <c:v>Cystectomy</c:v>
                </c:pt>
              </c:strCache>
            </c:strRef>
          </c:tx>
          <c:spPr>
            <a:solidFill>
              <a:srgbClr val="990000">
                <a:alpha val="50196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Feuil1!$B$1:$E$1</c:f>
              <c:strCache>
                <c:ptCount val="4"/>
                <c:pt idx="0">
                  <c:v>≤64 y/o n=27</c:v>
                </c:pt>
                <c:pt idx="1">
                  <c:v>65-74 y/o n=23</c:v>
                </c:pt>
                <c:pt idx="2">
                  <c:v>75-80 y/o n=21</c:v>
                </c:pt>
                <c:pt idx="3">
                  <c:v>≥81  y/o n=21</c:v>
                </c:pt>
              </c:strCache>
            </c:strRef>
          </c:cat>
          <c:val>
            <c:numRef>
              <c:f>Feuil1!$B$3:$E$3</c:f>
              <c:numCache>
                <c:formatCode>General</c:formatCode>
                <c:ptCount val="4"/>
                <c:pt idx="0">
                  <c:v>15</c:v>
                </c:pt>
                <c:pt idx="1">
                  <c:v>17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Feuil1!$A$4</c:f>
              <c:strCache>
                <c:ptCount val="1"/>
                <c:pt idx="0">
                  <c:v>Instillation</c:v>
                </c:pt>
              </c:strCache>
            </c:strRef>
          </c:tx>
          <c:spPr>
            <a:solidFill>
              <a:srgbClr val="990000">
                <a:alpha val="25098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81%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48%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Feuil1!$B$1:$E$1</c:f>
              <c:strCache>
                <c:ptCount val="4"/>
                <c:pt idx="0">
                  <c:v>≤64 y/o n=27</c:v>
                </c:pt>
                <c:pt idx="1">
                  <c:v>65-74 y/o n=23</c:v>
                </c:pt>
                <c:pt idx="2">
                  <c:v>75-80 y/o n=21</c:v>
                </c:pt>
                <c:pt idx="3">
                  <c:v>≥81  y/o n=21</c:v>
                </c:pt>
              </c:strCache>
            </c:strRef>
          </c:cat>
          <c:val>
            <c:numRef>
              <c:f>Feuil1!$B$4:$E$4</c:f>
              <c:numCache>
                <c:formatCode>General</c:formatCode>
                <c:ptCount val="4"/>
                <c:pt idx="0">
                  <c:v>81</c:v>
                </c:pt>
                <c:pt idx="1">
                  <c:v>70</c:v>
                </c:pt>
                <c:pt idx="2">
                  <c:v>38</c:v>
                </c:pt>
                <c:pt idx="3">
                  <c:v>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84203776"/>
        <c:axId val="94007296"/>
      </c:barChart>
      <c:catAx>
        <c:axId val="84203776"/>
        <c:scaling>
          <c:orientation val="minMax"/>
        </c:scaling>
        <c:delete val="0"/>
        <c:axPos val="b"/>
        <c:majorTickMark val="out"/>
        <c:minorTickMark val="none"/>
        <c:tickLblPos val="nextTo"/>
        <c:crossAx val="94007296"/>
        <c:crosses val="autoZero"/>
        <c:auto val="1"/>
        <c:lblAlgn val="ctr"/>
        <c:lblOffset val="100"/>
        <c:noMultiLvlLbl val="0"/>
      </c:catAx>
      <c:valAx>
        <c:axId val="9400729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8420377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Feuil1!$A$31</c:f>
              <c:strCache>
                <c:ptCount val="1"/>
                <c:pt idx="0">
                  <c:v>No specific treatment</c:v>
                </c:pt>
              </c:strCache>
            </c:strRef>
          </c:tx>
          <c:spPr>
            <a:solidFill>
              <a:srgbClr val="800000">
                <a:alpha val="94902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27%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70%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Feuil1!$B$31:$E$31</c:f>
              <c:numCache>
                <c:formatCode>General</c:formatCode>
                <c:ptCount val="4"/>
                <c:pt idx="0" formatCode="0">
                  <c:v>3</c:v>
                </c:pt>
                <c:pt idx="1">
                  <c:v>18</c:v>
                </c:pt>
                <c:pt idx="2">
                  <c:v>27</c:v>
                </c:pt>
                <c:pt idx="3">
                  <c:v>70</c:v>
                </c:pt>
              </c:numCache>
            </c:numRef>
          </c:val>
        </c:ser>
        <c:ser>
          <c:idx val="1"/>
          <c:order val="1"/>
          <c:tx>
            <c:strRef>
              <c:f>Feuil1!$A$32</c:f>
              <c:strCache>
                <c:ptCount val="1"/>
                <c:pt idx="0">
                  <c:v>Chemotheray</c:v>
                </c:pt>
              </c:strCache>
            </c:strRef>
          </c:tx>
          <c:spPr>
            <a:solidFill>
              <a:srgbClr val="990000">
                <a:alpha val="85882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Feuil1!$B$32:$E$32</c:f>
              <c:numCache>
                <c:formatCode>General</c:formatCode>
                <c:ptCount val="4"/>
                <c:pt idx="0">
                  <c:v>13</c:v>
                </c:pt>
                <c:pt idx="1">
                  <c:v>7</c:v>
                </c:pt>
                <c:pt idx="2">
                  <c:v>7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Feuil1!$A$33</c:f>
              <c:strCache>
                <c:ptCount val="1"/>
                <c:pt idx="0">
                  <c:v>Neoadjuvant chemotherapy</c:v>
                </c:pt>
              </c:strCache>
            </c:strRef>
          </c:tx>
          <c:spPr>
            <a:solidFill>
              <a:srgbClr val="990000">
                <a:alpha val="69804"/>
              </a:srgbClr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-9.259259259259258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elet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Feuil1!$B$33:$E$33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Feuil1!$A$34</c:f>
              <c:strCache>
                <c:ptCount val="1"/>
                <c:pt idx="0">
                  <c:v>Radiotherapy</c:v>
                </c:pt>
              </c:strCache>
            </c:strRef>
          </c:tx>
          <c:spPr>
            <a:solidFill>
              <a:srgbClr val="990000">
                <a:alpha val="54902"/>
              </a:srgbClr>
            </a:solidFill>
          </c:spPr>
          <c:invertIfNegative val="0"/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Feuil1!$B$34:$E$34</c:f>
              <c:numCache>
                <c:formatCode>General</c:formatCode>
                <c:ptCount val="4"/>
                <c:pt idx="0">
                  <c:v>3</c:v>
                </c:pt>
                <c:pt idx="1">
                  <c:v>0</c:v>
                </c:pt>
                <c:pt idx="2">
                  <c:v>10</c:v>
                </c:pt>
                <c:pt idx="3">
                  <c:v>3</c:v>
                </c:pt>
              </c:numCache>
            </c:numRef>
          </c:val>
        </c:ser>
        <c:ser>
          <c:idx val="4"/>
          <c:order val="4"/>
          <c:tx>
            <c:strRef>
              <c:f>Feuil1!$A$35</c:f>
              <c:strCache>
                <c:ptCount val="1"/>
                <c:pt idx="0">
                  <c:v>Concomittant chemoradiotherapy</c:v>
                </c:pt>
              </c:strCache>
            </c:strRef>
          </c:tx>
          <c:spPr>
            <a:solidFill>
              <a:srgbClr val="990000">
                <a:alpha val="40000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12%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Feuil1!$B$35:$E$35</c:f>
              <c:numCache>
                <c:formatCode>General</c:formatCode>
                <c:ptCount val="4"/>
                <c:pt idx="0">
                  <c:v>10</c:v>
                </c:pt>
                <c:pt idx="1">
                  <c:v>7</c:v>
                </c:pt>
                <c:pt idx="2">
                  <c:v>10</c:v>
                </c:pt>
                <c:pt idx="3">
                  <c:v>12</c:v>
                </c:pt>
              </c:numCache>
            </c:numRef>
          </c:val>
        </c:ser>
        <c:ser>
          <c:idx val="5"/>
          <c:order val="5"/>
          <c:tx>
            <c:strRef>
              <c:f>Feuil1!$A$36</c:f>
              <c:strCache>
                <c:ptCount val="1"/>
                <c:pt idx="0">
                  <c:v>Cystectomy</c:v>
                </c:pt>
              </c:strCache>
            </c:strRef>
          </c:tx>
          <c:spPr>
            <a:solidFill>
              <a:srgbClr val="990000">
                <a:alpha val="25098"/>
              </a:srgbClr>
            </a:solidFill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68%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15%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Feuil1!$B$30:$E$30</c:f>
              <c:strCache>
                <c:ptCount val="4"/>
                <c:pt idx="0">
                  <c:v>≤64 y/o n=31</c:v>
                </c:pt>
                <c:pt idx="1">
                  <c:v>65-74 y/o n=44</c:v>
                </c:pt>
                <c:pt idx="2">
                  <c:v>75-80 y/o n=30</c:v>
                </c:pt>
                <c:pt idx="3">
                  <c:v>≥81  y/o n=33</c:v>
                </c:pt>
              </c:strCache>
            </c:strRef>
          </c:cat>
          <c:val>
            <c:numRef>
              <c:f>Feuil1!$B$36:$E$36</c:f>
              <c:numCache>
                <c:formatCode>General</c:formatCode>
                <c:ptCount val="4"/>
                <c:pt idx="0">
                  <c:v>71</c:v>
                </c:pt>
                <c:pt idx="1">
                  <c:v>68</c:v>
                </c:pt>
                <c:pt idx="2">
                  <c:v>43</c:v>
                </c:pt>
                <c:pt idx="3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94340992"/>
        <c:axId val="94342528"/>
      </c:barChart>
      <c:catAx>
        <c:axId val="94340992"/>
        <c:scaling>
          <c:orientation val="minMax"/>
        </c:scaling>
        <c:delete val="0"/>
        <c:axPos val="b"/>
        <c:majorTickMark val="out"/>
        <c:minorTickMark val="none"/>
        <c:tickLblPos val="nextTo"/>
        <c:crossAx val="94342528"/>
        <c:crosses val="autoZero"/>
        <c:auto val="1"/>
        <c:lblAlgn val="ctr"/>
        <c:lblOffset val="100"/>
        <c:noMultiLvlLbl val="0"/>
      </c:catAx>
      <c:valAx>
        <c:axId val="943425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9434099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Lille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PLOUVIER Sandrine</dc:creator>
  <cp:lastModifiedBy>PLOUVIER Sandrine</cp:lastModifiedBy>
  <cp:revision>7</cp:revision>
  <dcterms:created xsi:type="dcterms:W3CDTF">2020-01-17T11:36:00Z</dcterms:created>
  <dcterms:modified xsi:type="dcterms:W3CDTF">2020-01-17T12:04:00Z</dcterms:modified>
</cp:coreProperties>
</file>